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0421F" w14:textId="27B3C432" w:rsidR="00F76A35" w:rsidRDefault="00F76A35" w:rsidP="00CA324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5A3D9395" w:rsidR="00314D12" w:rsidRDefault="00314D12" w:rsidP="00CA324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073D" w:rsidRPr="00C50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зайняття посади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p w14:paraId="0753A754" w14:textId="77777777" w:rsidR="00CA3241" w:rsidRPr="00314D12" w:rsidRDefault="00CA3241" w:rsidP="00CA324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73" w:type="pct"/>
        <w:tblInd w:w="-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774"/>
        <w:gridCol w:w="5993"/>
      </w:tblGrid>
      <w:tr w:rsidR="00314D12" w:rsidRPr="00C5073D" w14:paraId="53EB8E9E" w14:textId="77777777" w:rsidTr="00C5073D">
        <w:trPr>
          <w:trHeight w:val="987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C5073D" w:rsidRDefault="00314D12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 w:rsidRPr="00C5073D">
              <w:rPr>
                <w:rFonts w:ascii="Times New Roman" w:hAnsi="Times New Roman" w:cs="Times New Roman"/>
                <w:sz w:val="24"/>
                <w:szCs w:val="24"/>
              </w:rPr>
              <w:t>, стосовно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7FE90D25" w:rsidR="00314D12" w:rsidRPr="00C5073D" w:rsidRDefault="001B76CE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апарату Підгаєцького районного суду Тернопільської області</w:t>
            </w:r>
            <w:r w:rsidR="005A5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4455">
              <w:rPr>
                <w:rFonts w:ascii="Times New Roman" w:hAnsi="Times New Roman" w:cs="Times New Roman"/>
                <w:sz w:val="24"/>
                <w:szCs w:val="24"/>
              </w:rPr>
              <w:t xml:space="preserve"> посад державної служби</w:t>
            </w:r>
          </w:p>
        </w:tc>
      </w:tr>
      <w:tr w:rsidR="00314D12" w:rsidRPr="00C5073D" w14:paraId="0E55653B" w14:textId="77777777" w:rsidTr="001B76CE">
        <w:trPr>
          <w:trHeight w:val="266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C5073D" w:rsidRDefault="00314D12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9F56E9" w14:textId="77777777" w:rsidR="00FC5C38" w:rsidRPr="00FC5C38" w:rsidRDefault="00FC5C38" w:rsidP="00FC5C38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FC5C38">
              <w:rPr>
                <w:lang w:val="uk-UA"/>
              </w:rPr>
              <w:t xml:space="preserve">1) забезпечує реалізацію єдиної державної політики у сфері державної служби, є керівником державної служби в </w:t>
            </w:r>
            <w:proofErr w:type="spellStart"/>
            <w:r w:rsidRPr="00FC5C38">
              <w:rPr>
                <w:lang w:val="uk-UA"/>
              </w:rPr>
              <w:t>апараті</w:t>
            </w:r>
            <w:proofErr w:type="spellEnd"/>
            <w:r w:rsidRPr="00FC5C38">
              <w:rPr>
                <w:lang w:val="uk-UA"/>
              </w:rPr>
              <w:t xml:space="preserve"> суду</w:t>
            </w:r>
            <w:r>
              <w:rPr>
                <w:lang w:val="uk-UA"/>
              </w:rPr>
              <w:t xml:space="preserve">, де </w:t>
            </w:r>
            <w:r w:rsidRPr="00FC5C38">
              <w:rPr>
                <w:lang w:val="uk-UA"/>
              </w:rPr>
              <w:t>здійснює безпосереднє керівництво, забезпечує організацію роботи  працівників апарату суду, їх взаємодію у виконанні завдань, покладених на апарат суду</w:t>
            </w:r>
            <w:r>
              <w:rPr>
                <w:lang w:val="uk-UA"/>
              </w:rPr>
              <w:t xml:space="preserve">, а також </w:t>
            </w:r>
            <w:r w:rsidRPr="00FC5C38">
              <w:rPr>
                <w:lang w:val="uk-UA"/>
              </w:rPr>
              <w:t>виконує функції роботодавця для працівників апарату суду, які не є державними службовцями;</w:t>
            </w:r>
          </w:p>
          <w:p w14:paraId="2AD61418" w14:textId="77777777" w:rsidR="00FC5C38" w:rsidRPr="00C76C23" w:rsidRDefault="00FC5C38" w:rsidP="00FC5C38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C76C23">
              <w:rPr>
                <w:lang w:val="uk-UA"/>
              </w:rPr>
              <w:t>2) вживає заходів для забезпечення належних умов діяльності суду</w:t>
            </w:r>
            <w:r>
              <w:rPr>
                <w:lang w:val="uk-UA"/>
              </w:rPr>
              <w:t>,</w:t>
            </w:r>
            <w:r w:rsidRPr="00C76C23">
              <w:rPr>
                <w:lang w:val="uk-UA"/>
              </w:rPr>
              <w:t xml:space="preserve"> забезпечує підготовку планів роботи суду для затвердження головою суду, а також здійснює контроль за виконанням запланованих заходів</w:t>
            </w:r>
            <w:r>
              <w:rPr>
                <w:lang w:val="uk-UA"/>
              </w:rPr>
              <w:t xml:space="preserve">, </w:t>
            </w:r>
            <w:r w:rsidRPr="00520E02">
              <w:rPr>
                <w:lang w:val="uk-UA"/>
              </w:rPr>
              <w:t>координує здійснення організаційних заходів щодо підготовки зборів, оперативних нарад та інформує збори суддів про свою діяльність, забезпечує виконання рішень зборів суддів з пит</w:t>
            </w:r>
            <w:r>
              <w:rPr>
                <w:lang w:val="uk-UA"/>
              </w:rPr>
              <w:t>ань внутрішньої діяльності суду, виконує доручення голови суду</w:t>
            </w:r>
            <w:r w:rsidRPr="008A2DDB">
              <w:rPr>
                <w:lang w:val="uk-UA"/>
              </w:rPr>
              <w:t xml:space="preserve">, </w:t>
            </w:r>
            <w:r w:rsidRPr="00520E02">
              <w:rPr>
                <w:lang w:val="uk-UA"/>
              </w:rPr>
              <w:t>рішення зборів суддів щодо організаційного забезпечення діяльності суду;</w:t>
            </w:r>
            <w:r>
              <w:rPr>
                <w:lang w:val="uk-UA"/>
              </w:rPr>
              <w:t xml:space="preserve"> </w:t>
            </w:r>
            <w:r w:rsidRPr="00C76C23">
              <w:rPr>
                <w:lang w:val="uk-UA"/>
              </w:rPr>
              <w:t>забезпечує своєчасне формування та надання Вищій кваліфікаційній комісії суддів України наявної в суді інформації щодо суддів, їх професійної діяльності для формування суддівського досьє;</w:t>
            </w:r>
          </w:p>
          <w:p w14:paraId="71CDA279" w14:textId="77777777" w:rsidR="00FC5C38" w:rsidRPr="008813AA" w:rsidRDefault="00FC5C38" w:rsidP="00FC5C38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520E02">
              <w:rPr>
                <w:lang w:val="uk-UA"/>
              </w:rPr>
              <w:t>3)</w:t>
            </w:r>
            <w:r>
              <w:rPr>
                <w:lang w:val="uk-UA"/>
              </w:rPr>
              <w:t xml:space="preserve"> </w:t>
            </w:r>
            <w:r w:rsidRPr="008813AA">
              <w:rPr>
                <w:lang w:val="uk-UA"/>
              </w:rPr>
              <w:t xml:space="preserve">забезпечує функціонування Єдиної судової інформаційно-телекомунікаційної системи </w:t>
            </w:r>
            <w:r>
              <w:rPr>
                <w:lang w:val="uk-UA"/>
              </w:rPr>
              <w:t xml:space="preserve"> (далі – ЄСІТС) </w:t>
            </w:r>
            <w:r w:rsidRPr="008813AA">
              <w:rPr>
                <w:lang w:val="uk-UA"/>
              </w:rPr>
              <w:t xml:space="preserve">(до початку її функціонування - автоматизованої системи документообігу суду), автоматизованого </w:t>
            </w:r>
            <w:r w:rsidRPr="006B2436">
              <w:rPr>
                <w:lang w:val="uk-UA"/>
              </w:rPr>
              <w:t>розподілу</w:t>
            </w:r>
            <w:r w:rsidRPr="008813AA">
              <w:rPr>
                <w:lang w:val="uk-UA"/>
              </w:rPr>
              <w:t xml:space="preserve"> справ між суддями; організовує та контролює своєчасне внесення до </w:t>
            </w:r>
            <w:r>
              <w:rPr>
                <w:lang w:val="uk-UA"/>
              </w:rPr>
              <w:t>ЄСІТС</w:t>
            </w:r>
            <w:r w:rsidRPr="008813AA">
              <w:rPr>
                <w:lang w:val="uk-UA"/>
              </w:rPr>
              <w:t xml:space="preserve"> відомостей про набрання судовим рішенням законної сили (у тому числі за результатами розгляду судом апеляційної чи касаційної інстанції), направлення таких відомостей до Єдиного державного реєстру судових рішень;</w:t>
            </w:r>
          </w:p>
          <w:p w14:paraId="78DF0047" w14:textId="77777777" w:rsidR="00FC5C38" w:rsidRPr="00E51BC7" w:rsidRDefault="00FC5C38" w:rsidP="00FC5C38">
            <w:pPr>
              <w:pStyle w:val="ab"/>
              <w:spacing w:before="0" w:beforeAutospacing="0" w:after="0" w:afterAutospacing="0"/>
              <w:jc w:val="both"/>
              <w:rPr>
                <w:color w:val="FF0000"/>
                <w:lang w:val="uk-UA"/>
              </w:rPr>
            </w:pPr>
            <w:r w:rsidRPr="00520E02">
              <w:rPr>
                <w:lang w:val="uk-UA"/>
              </w:rPr>
              <w:t xml:space="preserve">4) </w:t>
            </w:r>
            <w:r w:rsidRPr="008813AA">
              <w:rPr>
                <w:lang w:val="uk-UA"/>
              </w:rPr>
              <w:t>здійснює організаційне забезпечення ведення судової статистики, діловодства в суді, обліку та зберігання судових справ</w:t>
            </w:r>
            <w:r>
              <w:rPr>
                <w:lang w:val="uk-UA"/>
              </w:rPr>
              <w:t xml:space="preserve">, </w:t>
            </w:r>
            <w:r w:rsidRPr="008813AA">
              <w:rPr>
                <w:lang w:val="uk-UA"/>
              </w:rPr>
              <w:t>організовує контроль за обліком приєднаних до провадження речових доказів, що зберігаються не при справі, вживає заходів щодо обладнання спеціальних приміщень і сховищ для їх зберіганн</w:t>
            </w:r>
            <w:r>
              <w:rPr>
                <w:lang w:val="uk-UA"/>
              </w:rPr>
              <w:t>я у відповідних умовах та стан</w:t>
            </w:r>
            <w:r w:rsidRPr="008A2DDB">
              <w:rPr>
                <w:lang w:val="uk-UA"/>
              </w:rPr>
              <w:t>і;</w:t>
            </w:r>
          </w:p>
          <w:p w14:paraId="1E1A9B9B" w14:textId="77777777" w:rsidR="00FC5C38" w:rsidRPr="00B701D2" w:rsidRDefault="00FC5C38" w:rsidP="00FC5C38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B701D2">
              <w:rPr>
                <w:lang w:val="uk-UA"/>
              </w:rPr>
              <w:t>5) забезпечує розроблення й подання на затвердження в установленому порядку структури та штатного розпису апарату суду, його штатної чисельності</w:t>
            </w:r>
            <w:r>
              <w:rPr>
                <w:lang w:val="uk-UA"/>
              </w:rPr>
              <w:t xml:space="preserve">; </w:t>
            </w:r>
            <w:r w:rsidRPr="00B701D2">
              <w:rPr>
                <w:lang w:val="uk-UA"/>
              </w:rPr>
              <w:t>затверджує</w:t>
            </w:r>
            <w:r>
              <w:rPr>
                <w:lang w:val="uk-UA"/>
              </w:rPr>
              <w:t xml:space="preserve">  </w:t>
            </w:r>
            <w:r w:rsidRPr="00B701D2">
              <w:rPr>
                <w:lang w:val="uk-UA"/>
              </w:rPr>
              <w:t>посадові інструкції працівників апарату суду</w:t>
            </w:r>
            <w:r>
              <w:rPr>
                <w:lang w:val="uk-UA"/>
              </w:rPr>
              <w:t xml:space="preserve"> та </w:t>
            </w:r>
            <w:r w:rsidRPr="00B701D2">
              <w:rPr>
                <w:lang w:val="uk-UA"/>
              </w:rPr>
              <w:t xml:space="preserve">здійснює контроль за дотриманням працівниками апарату суду посадових інструкцій, положення про апарат суду, </w:t>
            </w:r>
            <w:r>
              <w:rPr>
                <w:lang w:val="uk-UA"/>
              </w:rPr>
              <w:t>в</w:t>
            </w:r>
            <w:r w:rsidRPr="00B701D2">
              <w:rPr>
                <w:lang w:val="uk-UA"/>
              </w:rPr>
              <w:t xml:space="preserve">иконавської та службової дисципліни працівниками </w:t>
            </w:r>
            <w:r w:rsidRPr="00B701D2">
              <w:rPr>
                <w:lang w:val="uk-UA"/>
              </w:rPr>
              <w:lastRenderedPageBreak/>
              <w:t>апарату суду</w:t>
            </w:r>
            <w:r>
              <w:rPr>
                <w:lang w:val="uk-UA"/>
              </w:rPr>
              <w:t>,</w:t>
            </w:r>
            <w:r w:rsidRPr="008A2DDB">
              <w:rPr>
                <w:lang w:val="uk-UA"/>
              </w:rPr>
              <w:t xml:space="preserve"> Правил внутрішнього службового розпорядку,</w:t>
            </w:r>
            <w:r>
              <w:rPr>
                <w:color w:val="00B050"/>
                <w:lang w:val="uk-UA"/>
              </w:rPr>
              <w:t xml:space="preserve"> </w:t>
            </w:r>
            <w:r w:rsidRPr="00B701D2">
              <w:rPr>
                <w:lang w:val="uk-UA"/>
              </w:rPr>
              <w:t>Правил внутрішнього трудового розпорядку, Правил поведінки працівника суду, Загальних правил етичної поведінки державних службовців та посадових осіб місцевого самоврядування, правил техніки безпеки та вимог інших документів, які регламентують роботу суду;</w:t>
            </w:r>
          </w:p>
          <w:p w14:paraId="7DD04DDD" w14:textId="77777777" w:rsidR="00FC5C38" w:rsidRPr="00FC5C38" w:rsidRDefault="00FC5C38" w:rsidP="00FC5C38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FC5C38">
              <w:rPr>
                <w:lang w:val="uk-UA"/>
              </w:rPr>
              <w:t>6) забезпечує підвищення кваліфікації державних службовців апарату суду, працівників патронатної служби, працівників, які виконують функції з обслуговування та подає на затвердження в установленому порядку до центрального органу виконавчої влади, що забезпечує формування та реалізує державну політику у сфері державної служби, або її відповідному територіальному органу, перелік посад працівників апарату суду, які виконують функції з обслуговування;</w:t>
            </w:r>
          </w:p>
          <w:p w14:paraId="3B481F35" w14:textId="77777777" w:rsidR="00FC5C38" w:rsidRPr="00FC5C38" w:rsidRDefault="00FC5C38" w:rsidP="00FC5C38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FC5C38">
              <w:rPr>
                <w:lang w:val="uk-UA"/>
              </w:rPr>
              <w:t>7) утворює дисциплінарну комісію з розгляду дисциплінарних справ стосовно державних службовців апарату суду</w:t>
            </w:r>
            <w:r>
              <w:rPr>
                <w:lang w:val="uk-UA"/>
              </w:rPr>
              <w:t xml:space="preserve">, </w:t>
            </w:r>
            <w:r w:rsidRPr="00FC5C38">
              <w:rPr>
                <w:lang w:val="uk-UA"/>
              </w:rPr>
              <w:t>розглядає скарги на дії або бездіяльність державних службовців та інших працівників апарату суду</w:t>
            </w:r>
            <w:r>
              <w:rPr>
                <w:lang w:val="uk-UA"/>
              </w:rPr>
              <w:t xml:space="preserve">, </w:t>
            </w:r>
            <w:r w:rsidRPr="00FC5C38">
              <w:rPr>
                <w:lang w:val="uk-UA"/>
              </w:rPr>
              <w:t>заохочує працівників апарату суду та накладає на них дисциплінарні стягнення;</w:t>
            </w:r>
          </w:p>
          <w:p w14:paraId="58E1FAE9" w14:textId="77777777" w:rsidR="00FC5C38" w:rsidRPr="006B2436" w:rsidRDefault="00FC5C38" w:rsidP="00FC5C38">
            <w:pPr>
              <w:pStyle w:val="ab"/>
              <w:spacing w:before="0" w:beforeAutospacing="0" w:after="0" w:afterAutospacing="0"/>
              <w:jc w:val="both"/>
            </w:pPr>
            <w:r w:rsidRPr="006B2436">
              <w:t xml:space="preserve">8) </w:t>
            </w:r>
            <w:proofErr w:type="spellStart"/>
            <w:r w:rsidRPr="006B2436">
              <w:t>подає</w:t>
            </w:r>
            <w:proofErr w:type="spellEnd"/>
            <w:r>
              <w:rPr>
                <w:lang w:val="uk-UA"/>
              </w:rPr>
              <w:t xml:space="preserve"> </w:t>
            </w:r>
            <w:r w:rsidRPr="006B2436">
              <w:t xml:space="preserve">для </w:t>
            </w:r>
            <w:proofErr w:type="spellStart"/>
            <w:r w:rsidRPr="006B2436">
              <w:t>затвердження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загальними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зборами</w:t>
            </w:r>
            <w:proofErr w:type="spellEnd"/>
            <w:r w:rsidRPr="006B2436">
              <w:t xml:space="preserve"> (</w:t>
            </w:r>
            <w:proofErr w:type="spellStart"/>
            <w:r w:rsidRPr="006B2436">
              <w:t>конференцією</w:t>
            </w:r>
            <w:proofErr w:type="spellEnd"/>
            <w:r w:rsidRPr="006B2436">
              <w:t xml:space="preserve">) </w:t>
            </w:r>
            <w:proofErr w:type="spellStart"/>
            <w:r w:rsidRPr="006B2436">
              <w:t>державних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службовців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апарату</w:t>
            </w:r>
            <w:proofErr w:type="spellEnd"/>
            <w:r w:rsidRPr="006B2436">
              <w:t xml:space="preserve"> суду Правила </w:t>
            </w:r>
            <w:proofErr w:type="spellStart"/>
            <w:r w:rsidRPr="006B2436">
              <w:t>внутрішнього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службового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розпорядку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апарату</w:t>
            </w:r>
            <w:proofErr w:type="spellEnd"/>
            <w:r w:rsidRPr="006B2436">
              <w:t xml:space="preserve"> суду, </w:t>
            </w:r>
            <w:proofErr w:type="spellStart"/>
            <w:r w:rsidRPr="006B2436">
              <w:t>розроблені</w:t>
            </w:r>
            <w:proofErr w:type="spellEnd"/>
            <w:r w:rsidRPr="006B2436">
              <w:t xml:space="preserve"> на </w:t>
            </w:r>
            <w:proofErr w:type="spellStart"/>
            <w:r w:rsidRPr="006B2436">
              <w:t>основі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Типових</w:t>
            </w:r>
            <w:proofErr w:type="spellEnd"/>
            <w:r w:rsidRPr="006B2436">
              <w:t xml:space="preserve"> правил </w:t>
            </w:r>
            <w:proofErr w:type="spellStart"/>
            <w:r w:rsidRPr="006B2436">
              <w:t>вну</w:t>
            </w:r>
            <w:r>
              <w:t>трішнього</w:t>
            </w:r>
            <w:proofErr w:type="spellEnd"/>
            <w:r>
              <w:t xml:space="preserve"> </w:t>
            </w:r>
            <w:proofErr w:type="spellStart"/>
            <w:r>
              <w:t>службового</w:t>
            </w:r>
            <w:proofErr w:type="spellEnd"/>
            <w:r>
              <w:t xml:space="preserve"> </w:t>
            </w:r>
            <w:proofErr w:type="spellStart"/>
            <w:r>
              <w:t>розпорядку</w:t>
            </w:r>
            <w:proofErr w:type="spellEnd"/>
            <w:r>
              <w:t xml:space="preserve"> та </w:t>
            </w:r>
            <w:proofErr w:type="spellStart"/>
            <w:r w:rsidRPr="006B2436">
              <w:t>затверджує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Положення</w:t>
            </w:r>
            <w:proofErr w:type="spellEnd"/>
            <w:r w:rsidRPr="006B2436">
              <w:t xml:space="preserve"> про </w:t>
            </w:r>
            <w:proofErr w:type="spellStart"/>
            <w:r w:rsidRPr="006B2436">
              <w:t>преміювання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працівників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апарату</w:t>
            </w:r>
            <w:proofErr w:type="spellEnd"/>
            <w:r w:rsidRPr="006B2436">
              <w:t xml:space="preserve"> суду на </w:t>
            </w:r>
            <w:proofErr w:type="spellStart"/>
            <w:r w:rsidRPr="006B2436">
              <w:t>підставі</w:t>
            </w:r>
            <w:proofErr w:type="spellEnd"/>
            <w:r w:rsidRPr="006B2436">
              <w:t xml:space="preserve"> Тип</w:t>
            </w:r>
            <w:r>
              <w:t xml:space="preserve">ового </w:t>
            </w:r>
            <w:proofErr w:type="spellStart"/>
            <w:r>
              <w:t>положення</w:t>
            </w:r>
            <w:proofErr w:type="spellEnd"/>
            <w:r>
              <w:t xml:space="preserve"> про </w:t>
            </w:r>
            <w:proofErr w:type="spellStart"/>
            <w:r>
              <w:t>преміювання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6B2436">
              <w:t>Положення</w:t>
            </w:r>
            <w:proofErr w:type="spellEnd"/>
            <w:r w:rsidRPr="006B2436">
              <w:t xml:space="preserve"> про порядок </w:t>
            </w:r>
            <w:proofErr w:type="spellStart"/>
            <w:r w:rsidRPr="006B2436">
              <w:t>проходження</w:t>
            </w:r>
            <w:proofErr w:type="spellEnd"/>
            <w:r w:rsidRPr="006B2436">
              <w:t xml:space="preserve"> у </w:t>
            </w:r>
            <w:proofErr w:type="spellStart"/>
            <w:r w:rsidRPr="006B2436">
              <w:t>відповідному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суді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стажування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осіб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які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претен</w:t>
            </w:r>
            <w:r>
              <w:t>дують</w:t>
            </w:r>
            <w:proofErr w:type="spellEnd"/>
            <w:r>
              <w:t xml:space="preserve"> на посаду </w:t>
            </w:r>
            <w:proofErr w:type="spellStart"/>
            <w:r>
              <w:t>помічника</w:t>
            </w:r>
            <w:proofErr w:type="spellEnd"/>
            <w:r>
              <w:t xml:space="preserve"> </w:t>
            </w:r>
            <w:proofErr w:type="spellStart"/>
            <w:r>
              <w:t>судді</w:t>
            </w:r>
            <w:proofErr w:type="spellEnd"/>
            <w:r>
              <w:rPr>
                <w:lang w:val="uk-UA"/>
              </w:rPr>
              <w:t xml:space="preserve">, а також </w:t>
            </w:r>
            <w:proofErr w:type="spellStart"/>
            <w:r w:rsidRPr="006B2436">
              <w:t>встановлює</w:t>
            </w:r>
            <w:proofErr w:type="spellEnd"/>
            <w:r w:rsidRPr="006B2436">
              <w:t xml:space="preserve"> надбавки, доплати та </w:t>
            </w:r>
            <w:proofErr w:type="spellStart"/>
            <w:r w:rsidRPr="006B2436">
              <w:t>премії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працівникам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апарату</w:t>
            </w:r>
            <w:proofErr w:type="spellEnd"/>
            <w:r w:rsidRPr="006B2436">
              <w:t xml:space="preserve"> суду, у тому </w:t>
            </w:r>
            <w:proofErr w:type="spellStart"/>
            <w:r w:rsidRPr="006B2436">
              <w:t>числі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помічникам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суддів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відповідно</w:t>
            </w:r>
            <w:proofErr w:type="spellEnd"/>
            <w:r w:rsidRPr="006B2436">
              <w:t xml:space="preserve"> до </w:t>
            </w:r>
            <w:proofErr w:type="spellStart"/>
            <w:r w:rsidRPr="006B2436">
              <w:t>Положення</w:t>
            </w:r>
            <w:proofErr w:type="spellEnd"/>
            <w:r w:rsidRPr="006B2436">
              <w:t xml:space="preserve"> про </w:t>
            </w:r>
            <w:proofErr w:type="spellStart"/>
            <w:r w:rsidRPr="006B2436">
              <w:t>преміювання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відповідного</w:t>
            </w:r>
            <w:proofErr w:type="spellEnd"/>
            <w:r w:rsidRPr="006B2436">
              <w:t xml:space="preserve"> суду;</w:t>
            </w:r>
          </w:p>
          <w:p w14:paraId="7063A17F" w14:textId="77777777" w:rsidR="00FC5C38" w:rsidRPr="006B2436" w:rsidRDefault="00FC5C38" w:rsidP="00FC5C38">
            <w:pPr>
              <w:pStyle w:val="ab"/>
              <w:spacing w:before="0" w:beforeAutospacing="0" w:after="0" w:afterAutospacing="0"/>
              <w:jc w:val="both"/>
            </w:pPr>
            <w:r w:rsidRPr="006B2436">
              <w:t xml:space="preserve">9) </w:t>
            </w:r>
            <w:proofErr w:type="spellStart"/>
            <w:r w:rsidRPr="006B2436">
              <w:t>здійснює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організаційні</w:t>
            </w:r>
            <w:proofErr w:type="spellEnd"/>
            <w:r w:rsidRPr="006B2436">
              <w:t xml:space="preserve"> заходи </w:t>
            </w:r>
            <w:proofErr w:type="spellStart"/>
            <w:r w:rsidRPr="006B2436">
              <w:t>щодо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підтримання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приміщення</w:t>
            </w:r>
            <w:proofErr w:type="spellEnd"/>
            <w:r w:rsidRPr="006B2436">
              <w:t xml:space="preserve"> суду в </w:t>
            </w:r>
            <w:proofErr w:type="spellStart"/>
            <w:r w:rsidRPr="006B2436">
              <w:t>стані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придатному</w:t>
            </w:r>
            <w:proofErr w:type="spellEnd"/>
            <w:r w:rsidRPr="006B2436">
              <w:t xml:space="preserve"> для </w:t>
            </w:r>
            <w:proofErr w:type="spellStart"/>
            <w:r w:rsidRPr="006B2436">
              <w:t>належного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його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функціонування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проведення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капітального</w:t>
            </w:r>
            <w:proofErr w:type="spellEnd"/>
            <w:r w:rsidRPr="006B2436">
              <w:t xml:space="preserve"> та поточного </w:t>
            </w:r>
            <w:proofErr w:type="spellStart"/>
            <w:r w:rsidRPr="006B2436">
              <w:t>ремонтів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технічного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оснащення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приміщень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інформаційно-технічного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забезпечення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створення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безпечних</w:t>
            </w:r>
            <w:proofErr w:type="spellEnd"/>
            <w:r w:rsidRPr="006B2436">
              <w:t xml:space="preserve"> і </w:t>
            </w:r>
            <w:proofErr w:type="spellStart"/>
            <w:r w:rsidRPr="006B2436">
              <w:t>комфортних</w:t>
            </w:r>
            <w:proofErr w:type="spellEnd"/>
            <w:r w:rsidRPr="006B2436">
              <w:t xml:space="preserve"> умов для </w:t>
            </w:r>
            <w:proofErr w:type="spellStart"/>
            <w:r w:rsidRPr="006B2436">
              <w:t>суддів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працівників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апарату</w:t>
            </w:r>
            <w:proofErr w:type="spellEnd"/>
            <w:r w:rsidRPr="006B2436">
              <w:t xml:space="preserve"> суду та </w:t>
            </w:r>
            <w:proofErr w:type="spellStart"/>
            <w:r w:rsidRPr="006B2436">
              <w:t>осіб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які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перебувають</w:t>
            </w:r>
            <w:proofErr w:type="spellEnd"/>
            <w:r w:rsidRPr="006B2436">
              <w:t xml:space="preserve"> у </w:t>
            </w:r>
            <w:proofErr w:type="spellStart"/>
            <w:r w:rsidRPr="006B2436">
              <w:t>суді</w:t>
            </w:r>
            <w:proofErr w:type="spellEnd"/>
            <w:r w:rsidRPr="006B2436">
              <w:t xml:space="preserve">, а </w:t>
            </w:r>
            <w:proofErr w:type="spellStart"/>
            <w:r w:rsidRPr="006B2436">
              <w:t>також</w:t>
            </w:r>
            <w:proofErr w:type="spellEnd"/>
            <w:r w:rsidRPr="006B2436">
              <w:t xml:space="preserve"> заходи </w:t>
            </w:r>
            <w:proofErr w:type="spellStart"/>
            <w:r w:rsidRPr="006B2436">
              <w:t>інженерно-технічного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забезпечення</w:t>
            </w:r>
            <w:proofErr w:type="spellEnd"/>
            <w:r w:rsidRPr="006B2436">
              <w:t xml:space="preserve"> з </w:t>
            </w:r>
            <w:proofErr w:type="spellStart"/>
            <w:r w:rsidRPr="006B2436">
              <w:t>організації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конвоювання</w:t>
            </w:r>
            <w:proofErr w:type="spellEnd"/>
            <w:r w:rsidRPr="006B2436">
              <w:t xml:space="preserve"> та </w:t>
            </w:r>
            <w:proofErr w:type="spellStart"/>
            <w:r w:rsidRPr="006B2436">
              <w:t>тримання</w:t>
            </w:r>
            <w:proofErr w:type="spellEnd"/>
            <w:r w:rsidRPr="006B2436">
              <w:t xml:space="preserve"> в судах </w:t>
            </w:r>
            <w:proofErr w:type="spellStart"/>
            <w:r w:rsidRPr="006B2436">
              <w:t>обвинувачених</w:t>
            </w:r>
            <w:proofErr w:type="spellEnd"/>
            <w:r w:rsidRPr="006B2436">
              <w:t xml:space="preserve"> (</w:t>
            </w:r>
            <w:proofErr w:type="spellStart"/>
            <w:r w:rsidRPr="006B2436">
              <w:t>підозрюваних</w:t>
            </w:r>
            <w:proofErr w:type="spellEnd"/>
            <w:r w:rsidRPr="006B2436">
              <w:t xml:space="preserve">) та з </w:t>
            </w:r>
            <w:proofErr w:type="spellStart"/>
            <w:r w:rsidRPr="006B2436">
              <w:t>проведення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процесуальної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дії</w:t>
            </w:r>
            <w:proofErr w:type="spellEnd"/>
            <w:r w:rsidRPr="006B2436">
              <w:t xml:space="preserve"> з </w:t>
            </w:r>
            <w:proofErr w:type="spellStart"/>
            <w:r w:rsidRPr="006B2436">
              <w:t>учасниками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кримінального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провадження</w:t>
            </w:r>
            <w:proofErr w:type="spellEnd"/>
            <w:r w:rsidRPr="006B2436">
              <w:t xml:space="preserve">, </w:t>
            </w:r>
            <w:proofErr w:type="spellStart"/>
            <w:r w:rsidRPr="006B2436">
              <w:t>щодо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яких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вжито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заходів</w:t>
            </w:r>
            <w:proofErr w:type="spellEnd"/>
            <w:r w:rsidRPr="006B2436">
              <w:t xml:space="preserve"> </w:t>
            </w:r>
            <w:proofErr w:type="spellStart"/>
            <w:r w:rsidRPr="006B2436">
              <w:t>безпеки</w:t>
            </w:r>
            <w:proofErr w:type="spellEnd"/>
            <w:r w:rsidRPr="006B2436">
              <w:t>;</w:t>
            </w:r>
          </w:p>
          <w:p w14:paraId="3F5F2429" w14:textId="77777777" w:rsidR="00FC5C38" w:rsidRDefault="00FC5C38" w:rsidP="00FC5C38">
            <w:pPr>
              <w:pStyle w:val="21"/>
              <w:shd w:val="clear" w:color="auto" w:fill="auto"/>
              <w:tabs>
                <w:tab w:val="left" w:pos="589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FC5C38">
              <w:rPr>
                <w:sz w:val="24"/>
                <w:szCs w:val="24"/>
              </w:rPr>
              <w:t xml:space="preserve">10) організовує облік, видачу, знищення посвідчень працівників апарату суду (державних службовців, працівників апарату суду, які займають посади патронатної служби, осіб, які виконують функції з обслуговування та робітників); визначає місце, строк відрядження, режим роботи в період службового відрядження працівників апарату суду й завдання до </w:t>
            </w:r>
            <w:r w:rsidRPr="00FC5C38">
              <w:rPr>
                <w:sz w:val="24"/>
                <w:szCs w:val="24"/>
              </w:rPr>
              <w:lastRenderedPageBreak/>
              <w:t>виконання, а також здійснює інші повноваження керівника державної служби суду відповідно до Закону України "Про державну службу" та виконує інші функції, пов'язані із забезпеченням діяльності суду.</w:t>
            </w:r>
          </w:p>
          <w:p w14:paraId="15198022" w14:textId="35E637CE" w:rsidR="00474C8F" w:rsidRPr="007255EF" w:rsidRDefault="00474C8F" w:rsidP="00FC5C38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12" w:rsidRPr="00C5073D" w14:paraId="0EDF8B7B" w14:textId="77777777" w:rsidTr="00C5073D">
        <w:trPr>
          <w:trHeight w:val="402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6FF541B" w:rsidR="00314D12" w:rsidRPr="00C5073D" w:rsidRDefault="00314D12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 w:rsidR="00917F50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7B07B4C" w14:textId="05E3A703" w:rsidR="00D865B0" w:rsidRPr="00D865B0" w:rsidRDefault="001A4C71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</w:t>
            </w:r>
            <w:r w:rsidRPr="00FC5C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E772D" w:rsidRPr="00FC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3BB" w:rsidRPr="00FC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72D" w:rsidRPr="00FC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3BB" w:rsidRPr="00FC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72D" w:rsidRPr="00FC5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548B" w:rsidRPr="00FC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C38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  <w:r w:rsidR="006B3A9A" w:rsidRPr="00FC5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постанови Кабінету Міністрів України від </w:t>
            </w:r>
            <w:r w:rsidR="00D865B0" w:rsidRPr="00D865B0">
              <w:rPr>
                <w:rFonts w:ascii="Times New Roman" w:hAnsi="Times New Roman" w:cs="Times New Roman"/>
                <w:sz w:val="24"/>
                <w:szCs w:val="24"/>
              </w:rPr>
              <w:t xml:space="preserve">24.05.2017 №358 </w:t>
            </w:r>
            <w:r w:rsidR="00C507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5B0" w:rsidRPr="00D865B0">
              <w:rPr>
                <w:rFonts w:ascii="Times New Roman" w:hAnsi="Times New Roman" w:cs="Times New Roman"/>
                <w:sz w:val="24"/>
                <w:szCs w:val="24"/>
              </w:rPr>
              <w:t>Деякі питання оплати праці державних службовців судів, органів та установ системи правосуддя</w:t>
            </w:r>
            <w:r w:rsidR="00C50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65B0" w:rsidRPr="00D86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32D343" w14:textId="236B61EF" w:rsidR="00314D12" w:rsidRPr="00C5073D" w:rsidRDefault="006B3A9A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Надбавки, доплати та премії, визначені законодавством у сфері державної служби. </w:t>
            </w:r>
          </w:p>
        </w:tc>
      </w:tr>
      <w:tr w:rsidR="00314D12" w:rsidRPr="00C5073D" w14:paraId="31622450" w14:textId="77777777" w:rsidTr="00C5073D">
        <w:trPr>
          <w:trHeight w:val="538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6AE19BF5" w:rsidR="00314D12" w:rsidRPr="00C5073D" w:rsidRDefault="00314D12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7B21174" w14:textId="77777777" w:rsidR="001B76CE" w:rsidRDefault="009D64B9" w:rsidP="001B76CE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укладається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</w:t>
            </w:r>
            <w:r w:rsidR="001B7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85718F" w14:textId="75D501C6" w:rsidR="006B3A9A" w:rsidRPr="00A24252" w:rsidRDefault="009D64B9" w:rsidP="001B76CE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B45CAE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ох місяців після відміни карантину, установленого Кабінетом Міністрів України.</w:t>
            </w:r>
          </w:p>
        </w:tc>
      </w:tr>
      <w:tr w:rsidR="00314D12" w:rsidRPr="00C5073D" w14:paraId="23F6005C" w14:textId="77777777" w:rsidTr="00C5073D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0D68CFCB" w:rsidR="00314D12" w:rsidRPr="00C5073D" w:rsidRDefault="00DC7841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Перелік інформації, необхідної для призначення на вакантну посаду, в тому числі форм</w:t>
            </w:r>
            <w:r w:rsidR="00F76A35" w:rsidRPr="00C50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67BFA907" w:rsidR="009D64B9" w:rsidRPr="00C5073D" w:rsidRDefault="009D64B9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1) заява із зазначенням основних мотивів щодо зайняття посади за формою згідно з </w:t>
            </w:r>
            <w:hyperlink r:id="rId5" w:history="1">
              <w:r w:rsidRPr="00C5073D">
                <w:rPr>
                  <w:rFonts w:ascii="Times New Roman" w:hAnsi="Times New Roman" w:cs="Times New Roman"/>
                  <w:sz w:val="24"/>
                  <w:szCs w:val="24"/>
                </w:rPr>
                <w:t>додатком 1</w:t>
              </w:r>
            </w:hyperlink>
            <w:r w:rsidR="00D865B0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8C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C0698C" w:rsidRPr="00C5073D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="00C0698C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SARS-CoV-2</w:t>
            </w:r>
            <w:r w:rsidR="00955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58FD">
              <w:t xml:space="preserve"> </w:t>
            </w:r>
            <w:r w:rsidR="009558FD" w:rsidRPr="009558FD">
              <w:rPr>
                <w:rFonts w:ascii="Times New Roman" w:hAnsi="Times New Roman" w:cs="Times New Roman"/>
                <w:sz w:val="24"/>
                <w:szCs w:val="24"/>
              </w:rPr>
              <w:t>затвердженого постановою Кабінету Міністрів України від 22 квітня 2020р. № 290</w:t>
            </w:r>
            <w:r w:rsidR="00C0698C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(далі - Поряд</w:t>
            </w:r>
            <w:r w:rsidR="00A242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698C" w:rsidRPr="00C5073D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11496C" w14:textId="297B2543" w:rsidR="009D64B9" w:rsidRPr="00C5073D" w:rsidRDefault="009D64B9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=id.z337ya"/>
            <w:bookmarkEnd w:id="1"/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C5073D">
                <w:rPr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  <w:bookmarkStart w:id="2" w:name="bookmark=id.3j2qqm3"/>
              <w:bookmarkEnd w:id="2"/>
            </w:hyperlink>
            <w:r w:rsidR="00C0698C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Порядку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3ABD80" w14:textId="77777777" w:rsidR="009D64B9" w:rsidRPr="0053223E" w:rsidRDefault="009D64B9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</w:t>
            </w:r>
            <w:r w:rsidRPr="0053223E">
              <w:rPr>
                <w:rFonts w:ascii="Times New Roman" w:hAnsi="Times New Roman" w:cs="Times New Roman"/>
                <w:sz w:val="24"/>
                <w:szCs w:val="24"/>
              </w:rPr>
              <w:t>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5DB0A38" w:rsidR="009D64B9" w:rsidRPr="00FC5C38" w:rsidRDefault="00637149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8">
              <w:rPr>
                <w:rFonts w:ascii="Times New Roman" w:hAnsi="Times New Roman" w:cs="Times New Roman"/>
                <w:sz w:val="24"/>
                <w:szCs w:val="24"/>
              </w:rPr>
              <w:t>Додатки до заяви не є обов’язковими для подання.</w:t>
            </w:r>
          </w:p>
          <w:p w14:paraId="5252EF18" w14:textId="77777777" w:rsidR="00637149" w:rsidRPr="0053223E" w:rsidRDefault="00637149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4CD2C8" w14:textId="6F23FAA1" w:rsidR="001A4C71" w:rsidRPr="001A4C71" w:rsidRDefault="001A4C71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подається </w:t>
            </w:r>
            <w:r w:rsidR="000C16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Єдин</w:t>
            </w:r>
            <w:r w:rsidR="000C16B4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0C16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вакансій державної служби</w:t>
            </w:r>
            <w:r w:rsidR="000C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2A238" w14:textId="01614AA6" w:rsidR="00314D12" w:rsidRPr="001A4C71" w:rsidRDefault="00F0426D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прийма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ться </w:t>
            </w:r>
            <w:r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FC5C38"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год. </w:t>
            </w:r>
            <w:r w:rsidR="00B45CAE"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хв. </w:t>
            </w:r>
            <w:r w:rsidR="00FC5C38"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3C4"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>лютого</w:t>
            </w:r>
            <w:r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143C4"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  <w:r w:rsidR="000C16B4" w:rsidRPr="00C76C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14D12" w:rsidRPr="00C5073D" w14:paraId="74E10C71" w14:textId="77777777" w:rsidTr="00C5073D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2C73A4DD" w:rsidR="00314D12" w:rsidRPr="00C5073D" w:rsidRDefault="00917F50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Прізвище, ім’я та по батькові, номер телефону та електронн</w:t>
            </w:r>
            <w:r w:rsidR="005905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5905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C71" w:rsidRPr="00C507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, як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нада</w:t>
            </w:r>
            <w:r w:rsidR="00C5073D" w:rsidRPr="00C5073D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AD340F" w14:textId="74F83C5F" w:rsidR="001A4C71" w:rsidRPr="000C16B4" w:rsidRDefault="007255EF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Колесніченко Діана Олександрівна</w:t>
            </w:r>
            <w:r w:rsidR="000C16B4" w:rsidRPr="000C1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B30142" w14:textId="6109E533" w:rsidR="001A4C71" w:rsidRPr="000C16B4" w:rsidRDefault="000C16B4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B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0C16B4">
              <w:rPr>
                <w:rFonts w:ascii="Times New Roman" w:hAnsi="Times New Roman" w:cs="Times New Roman"/>
                <w:sz w:val="24"/>
                <w:szCs w:val="24"/>
              </w:rPr>
              <w:t xml:space="preserve">. (0352) </w:t>
            </w:r>
            <w:r w:rsidR="007255EF">
              <w:rPr>
                <w:rFonts w:ascii="Times New Roman" w:hAnsi="Times New Roman" w:cs="Times New Roman"/>
                <w:sz w:val="24"/>
                <w:szCs w:val="24"/>
              </w:rPr>
              <w:t>258492</w:t>
            </w:r>
          </w:p>
          <w:p w14:paraId="06292E47" w14:textId="65F78A00" w:rsidR="00314D12" w:rsidRPr="00C5073D" w:rsidRDefault="007255EF" w:rsidP="007255EF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EF">
              <w:rPr>
                <w:rFonts w:ascii="Times New Roman" w:hAnsi="Times New Roman" w:cs="Times New Roman"/>
                <w:sz w:val="24"/>
                <w:szCs w:val="24"/>
              </w:rPr>
              <w:t>kolesnichenko@te.court.gov.ua</w:t>
            </w:r>
          </w:p>
        </w:tc>
      </w:tr>
      <w:tr w:rsidR="00314D12" w:rsidRPr="00C5073D" w14:paraId="43C85C54" w14:textId="77777777" w:rsidTr="00C5073D">
        <w:tc>
          <w:tcPr>
            <w:tcW w:w="10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55B2BD9B" w:rsidR="00314D12" w:rsidRPr="00C5073D" w:rsidRDefault="00917F50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4D12" w:rsidRPr="00C5073D">
              <w:rPr>
                <w:rFonts w:ascii="Times New Roman" w:hAnsi="Times New Roman" w:cs="Times New Roman"/>
                <w:sz w:val="24"/>
                <w:szCs w:val="24"/>
              </w:rPr>
              <w:t>имоги</w:t>
            </w:r>
          </w:p>
        </w:tc>
      </w:tr>
      <w:tr w:rsidR="00774E76" w:rsidRPr="00C5073D" w14:paraId="117D099A" w14:textId="77777777" w:rsidTr="00C5073D"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5760297B" w:rsidR="00774E76" w:rsidRPr="00A24252" w:rsidRDefault="00FF3019" w:rsidP="007255EF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19">
              <w:rPr>
                <w:rFonts w:ascii="Times New Roman" w:hAnsi="Times New Roman" w:cs="Times New Roman"/>
                <w:sz w:val="24"/>
                <w:szCs w:val="24"/>
              </w:rPr>
              <w:t xml:space="preserve">Вища освіта з освітнім ступенем </w:t>
            </w:r>
            <w:r w:rsidR="00C76C23">
              <w:rPr>
                <w:rFonts w:ascii="Times New Roman" w:hAnsi="Times New Roman" w:cs="Times New Roman"/>
                <w:sz w:val="24"/>
                <w:szCs w:val="24"/>
              </w:rPr>
              <w:t xml:space="preserve">не нижче </w:t>
            </w:r>
            <w:r w:rsidR="00B42526" w:rsidRPr="007255EF">
              <w:rPr>
                <w:rFonts w:ascii="Times New Roman" w:hAnsi="Times New Roman" w:cs="Times New Roman"/>
                <w:sz w:val="24"/>
                <w:szCs w:val="24"/>
              </w:rPr>
              <w:t>магістра</w:t>
            </w:r>
            <w:r w:rsidRPr="00FF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5EF">
              <w:rPr>
                <w:rFonts w:ascii="Times New Roman" w:hAnsi="Times New Roman" w:cs="Times New Roman"/>
                <w:sz w:val="24"/>
                <w:szCs w:val="24"/>
              </w:rPr>
              <w:t>(або прирівняна до неї вища освіта за освітньо-кваліфікаційним рівнем спеціаліста)</w:t>
            </w:r>
            <w:r w:rsidR="0059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</w:p>
        </w:tc>
      </w:tr>
      <w:tr w:rsidR="00774E76" w:rsidRPr="00C5073D" w14:paraId="5E226FA0" w14:textId="77777777" w:rsidTr="00C5073D"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BA935A6" w:rsidR="00774E76" w:rsidRPr="00A24252" w:rsidRDefault="00427281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281">
              <w:rPr>
                <w:rFonts w:ascii="Times New Roman" w:hAnsi="Times New Roman" w:cs="Times New Roman"/>
                <w:sz w:val="24"/>
                <w:szCs w:val="24"/>
              </w:rPr>
              <w:t xml:space="preserve">освід роботи на посадах державної служби категорій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2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281">
              <w:rPr>
                <w:rFonts w:ascii="Times New Roman" w:hAnsi="Times New Roman" w:cs="Times New Roman"/>
                <w:sz w:val="24"/>
                <w:szCs w:val="24"/>
              </w:rPr>
              <w:t xml:space="preserve"> 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2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281">
              <w:rPr>
                <w:rFonts w:ascii="Times New Roman" w:hAnsi="Times New Roman" w:cs="Times New Roman"/>
                <w:sz w:val="24"/>
                <w:szCs w:val="24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774E76" w:rsidRPr="00C5073D" w14:paraId="18642717" w14:textId="77777777" w:rsidTr="00C5073D">
        <w:trPr>
          <w:trHeight w:val="69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A24252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2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C5073D" w14:paraId="32E0B637" w14:textId="77777777" w:rsidTr="00C5073D">
        <w:trPr>
          <w:trHeight w:val="690"/>
        </w:trPr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C5073D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D">
              <w:rPr>
                <w:rFonts w:ascii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A24252" w:rsidRDefault="00774E76" w:rsidP="00C5073D">
            <w:pPr>
              <w:pStyle w:val="a9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2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C5073D" w:rsidRDefault="00B5151A" w:rsidP="00C5073D">
      <w:pPr>
        <w:pStyle w:val="a9"/>
        <w:tabs>
          <w:tab w:val="left" w:pos="645"/>
        </w:tabs>
        <w:spacing w:before="150" w:after="150"/>
        <w:ind w:left="288" w:right="137"/>
        <w:jc w:val="both"/>
        <w:rPr>
          <w:rFonts w:ascii="Times New Roman" w:hAnsi="Times New Roman" w:cs="Times New Roman"/>
          <w:sz w:val="24"/>
          <w:szCs w:val="24"/>
        </w:rPr>
      </w:pPr>
    </w:p>
    <w:sectPr w:rsidR="00B5151A" w:rsidRPr="00C5073D" w:rsidSect="00427281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66"/>
    <w:multiLevelType w:val="hybridMultilevel"/>
    <w:tmpl w:val="665AFCAE"/>
    <w:lvl w:ilvl="0" w:tplc="99B2B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3BD7D67"/>
    <w:multiLevelType w:val="hybridMultilevel"/>
    <w:tmpl w:val="5FEC785A"/>
    <w:lvl w:ilvl="0" w:tplc="8ACAFB06">
      <w:start w:val="1"/>
      <w:numFmt w:val="decimal"/>
      <w:lvlText w:val="2.1.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521E08"/>
    <w:multiLevelType w:val="hybridMultilevel"/>
    <w:tmpl w:val="8CEA7C16"/>
    <w:lvl w:ilvl="0" w:tplc="8ACAFB06">
      <w:start w:val="1"/>
      <w:numFmt w:val="decimal"/>
      <w:lvlText w:val="2.1.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C5E5D71"/>
    <w:multiLevelType w:val="hybridMultilevel"/>
    <w:tmpl w:val="617680BC"/>
    <w:lvl w:ilvl="0" w:tplc="8ACAFB06">
      <w:start w:val="1"/>
      <w:numFmt w:val="decimal"/>
      <w:lvlText w:val="2.1.%1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D71A0"/>
    <w:multiLevelType w:val="multilevel"/>
    <w:tmpl w:val="F8CC4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04455"/>
    <w:rsid w:val="000143C4"/>
    <w:rsid w:val="00055E4C"/>
    <w:rsid w:val="000B1F13"/>
    <w:rsid w:val="000C16B4"/>
    <w:rsid w:val="000C6106"/>
    <w:rsid w:val="001121C1"/>
    <w:rsid w:val="001A4C71"/>
    <w:rsid w:val="001B76CE"/>
    <w:rsid w:val="001C0BB8"/>
    <w:rsid w:val="0027692E"/>
    <w:rsid w:val="002A03BB"/>
    <w:rsid w:val="002A7B4E"/>
    <w:rsid w:val="002D7986"/>
    <w:rsid w:val="00314D12"/>
    <w:rsid w:val="00326F61"/>
    <w:rsid w:val="003446E4"/>
    <w:rsid w:val="003C2F8C"/>
    <w:rsid w:val="003D2E8A"/>
    <w:rsid w:val="004103CE"/>
    <w:rsid w:val="004231AB"/>
    <w:rsid w:val="00427281"/>
    <w:rsid w:val="00427BC0"/>
    <w:rsid w:val="0047270E"/>
    <w:rsid w:val="00474C8F"/>
    <w:rsid w:val="004D575B"/>
    <w:rsid w:val="004E7D98"/>
    <w:rsid w:val="0053223E"/>
    <w:rsid w:val="00536D0A"/>
    <w:rsid w:val="00544EA1"/>
    <w:rsid w:val="0056079C"/>
    <w:rsid w:val="00590534"/>
    <w:rsid w:val="00594B74"/>
    <w:rsid w:val="005A41B8"/>
    <w:rsid w:val="005A517F"/>
    <w:rsid w:val="00601708"/>
    <w:rsid w:val="00637149"/>
    <w:rsid w:val="006404DF"/>
    <w:rsid w:val="006B3A9A"/>
    <w:rsid w:val="006C6A94"/>
    <w:rsid w:val="00713A64"/>
    <w:rsid w:val="007255EF"/>
    <w:rsid w:val="0076605A"/>
    <w:rsid w:val="007748B2"/>
    <w:rsid w:val="00774E76"/>
    <w:rsid w:val="00840E77"/>
    <w:rsid w:val="00843AEC"/>
    <w:rsid w:val="0084548B"/>
    <w:rsid w:val="008B7BD1"/>
    <w:rsid w:val="00917F50"/>
    <w:rsid w:val="009558FD"/>
    <w:rsid w:val="009D64B9"/>
    <w:rsid w:val="009D7AB4"/>
    <w:rsid w:val="00A03962"/>
    <w:rsid w:val="00A24252"/>
    <w:rsid w:val="00A52BB6"/>
    <w:rsid w:val="00A53350"/>
    <w:rsid w:val="00B42526"/>
    <w:rsid w:val="00B45CAE"/>
    <w:rsid w:val="00B5151A"/>
    <w:rsid w:val="00C0698C"/>
    <w:rsid w:val="00C321D0"/>
    <w:rsid w:val="00C5073D"/>
    <w:rsid w:val="00C76C23"/>
    <w:rsid w:val="00C83DC1"/>
    <w:rsid w:val="00CA3241"/>
    <w:rsid w:val="00CA49AF"/>
    <w:rsid w:val="00D03AD0"/>
    <w:rsid w:val="00D06D6A"/>
    <w:rsid w:val="00D534FD"/>
    <w:rsid w:val="00D865B0"/>
    <w:rsid w:val="00DB0858"/>
    <w:rsid w:val="00DC7841"/>
    <w:rsid w:val="00E22E2F"/>
    <w:rsid w:val="00E84484"/>
    <w:rsid w:val="00ED492C"/>
    <w:rsid w:val="00EE05DE"/>
    <w:rsid w:val="00EE334C"/>
    <w:rsid w:val="00EE772D"/>
    <w:rsid w:val="00F0426D"/>
    <w:rsid w:val="00F0594A"/>
    <w:rsid w:val="00F07D79"/>
    <w:rsid w:val="00F21213"/>
    <w:rsid w:val="00F53942"/>
    <w:rsid w:val="00F55763"/>
    <w:rsid w:val="00F76A35"/>
    <w:rsid w:val="00F774FC"/>
    <w:rsid w:val="00FC5C38"/>
    <w:rsid w:val="00FE317A"/>
    <w:rsid w:val="00FE4914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07D79"/>
    <w:pPr>
      <w:ind w:left="720"/>
      <w:contextualSpacing/>
    </w:pPr>
  </w:style>
  <w:style w:type="paragraph" w:customStyle="1" w:styleId="aa">
    <w:name w:val="Назва документа"/>
    <w:basedOn w:val="a"/>
    <w:next w:val="a"/>
    <w:rsid w:val="00C0698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Абзац списку1"/>
    <w:basedOn w:val="a"/>
    <w:rsid w:val="00843A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Exact">
    <w:name w:val="Основний текст (2) Exact"/>
    <w:basedOn w:val="a0"/>
    <w:uiPriority w:val="99"/>
    <w:rsid w:val="001B76CE"/>
    <w:rPr>
      <w:rFonts w:ascii="Times New Roman" w:hAnsi="Times New Roman" w:cs="Times New Roman"/>
      <w:sz w:val="18"/>
      <w:szCs w:val="18"/>
      <w:u w:val="none"/>
    </w:rPr>
  </w:style>
  <w:style w:type="character" w:customStyle="1" w:styleId="2Exact2">
    <w:name w:val="Основний текст (2) Exact2"/>
    <w:basedOn w:val="a0"/>
    <w:uiPriority w:val="99"/>
    <w:rsid w:val="001B76CE"/>
    <w:rPr>
      <w:rFonts w:ascii="Times New Roman" w:hAnsi="Times New Roman" w:cs="Times New Roman"/>
      <w:sz w:val="18"/>
      <w:szCs w:val="18"/>
      <w:u w:val="single"/>
    </w:rPr>
  </w:style>
  <w:style w:type="character" w:customStyle="1" w:styleId="2">
    <w:name w:val="Основний текст (2)_"/>
    <w:basedOn w:val="a0"/>
    <w:link w:val="21"/>
    <w:uiPriority w:val="99"/>
    <w:rsid w:val="001B76C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1B76C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styleId="ab">
    <w:name w:val="Normal (Web)"/>
    <w:basedOn w:val="a"/>
    <w:uiPriority w:val="99"/>
    <w:rsid w:val="00F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5159</Words>
  <Characters>2942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Diana</cp:lastModifiedBy>
  <cp:revision>9</cp:revision>
  <cp:lastPrinted>2021-02-19T10:33:00Z</cp:lastPrinted>
  <dcterms:created xsi:type="dcterms:W3CDTF">2021-02-08T13:45:00Z</dcterms:created>
  <dcterms:modified xsi:type="dcterms:W3CDTF">2021-02-19T11:14:00Z</dcterms:modified>
</cp:coreProperties>
</file>